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33E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E07">
        <w:rPr>
          <w:rFonts w:ascii="Times New Roman" w:hAnsi="Times New Roman" w:cs="Times New Roman"/>
          <w:sz w:val="28"/>
          <w:szCs w:val="28"/>
        </w:rPr>
        <w:t xml:space="preserve">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>В 2020/2021 учебном году прием в первые классы будут осуществлять 157 подведомственных Департаменту образования школ, в том числе две новые школы: № 79 (Верх-</w:t>
      </w:r>
      <w:proofErr w:type="spellStart"/>
      <w:r w:rsidR="00B77706" w:rsidRPr="00533E07">
        <w:rPr>
          <w:rFonts w:ascii="Liberation Serif" w:hAnsi="Liberation Serif"/>
          <w:sz w:val="28"/>
          <w:szCs w:val="28"/>
        </w:rPr>
        <w:t>Исетский</w:t>
      </w:r>
      <w:proofErr w:type="spellEnd"/>
      <w:r w:rsidR="00B77706" w:rsidRPr="00533E07">
        <w:rPr>
          <w:rFonts w:ascii="Liberation Serif" w:hAnsi="Liberation Serif"/>
          <w:sz w:val="28"/>
          <w:szCs w:val="28"/>
        </w:rPr>
        <w:t xml:space="preserve">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</w:t>
      </w:r>
      <w:proofErr w:type="spellStart"/>
      <w:r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</w:t>
      </w:r>
      <w:r w:rsidRPr="00533E07">
        <w:rPr>
          <w:rFonts w:ascii="Times New Roman" w:hAnsi="Times New Roman"/>
          <w:sz w:val="28"/>
          <w:szCs w:val="28"/>
        </w:rPr>
        <w:lastRenderedPageBreak/>
        <w:t>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 xml:space="preserve">форме № 3 (предоставляется Управлением по вопросам </w:t>
      </w:r>
      <w:proofErr w:type="gramStart"/>
      <w:r w:rsidRPr="009234E9">
        <w:rPr>
          <w:rFonts w:ascii="Liberation Serif" w:hAnsi="Liberation Serif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</w:t>
      </w:r>
      <w:proofErr w:type="gramStart"/>
      <w:r w:rsidRPr="009234E9">
        <w:rPr>
          <w:rFonts w:ascii="Liberation Serif" w:hAnsi="Liberation Serif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92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34E9">
        <w:rPr>
          <w:rFonts w:ascii="Times New Roman" w:hAnsi="Times New Roman" w:cs="Times New Roman"/>
          <w:sz w:val="28"/>
          <w:szCs w:val="28"/>
        </w:rPr>
        <w:t xml:space="preserve">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</w:t>
      </w:r>
      <w:proofErr w:type="spellStart"/>
      <w:r w:rsidR="00234C9B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234C9B" w:rsidRPr="00533E07">
        <w:rPr>
          <w:rFonts w:ascii="Times New Roman" w:hAnsi="Times New Roman" w:cs="Times New Roman"/>
          <w:b/>
          <w:sz w:val="28"/>
          <w:szCs w:val="28"/>
        </w:rPr>
        <w:t>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lastRenderedPageBreak/>
        <w:t>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gramStart"/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Железнодорожном, Орджоникидзевском,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6A" w:rsidRDefault="00C0696A" w:rsidP="001E6E67">
      <w:pPr>
        <w:spacing w:after="0" w:line="240" w:lineRule="auto"/>
      </w:pPr>
      <w:r>
        <w:separator/>
      </w:r>
    </w:p>
  </w:endnote>
  <w:endnote w:type="continuationSeparator" w:id="0">
    <w:p w:rsidR="00C0696A" w:rsidRDefault="00C0696A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6A" w:rsidRDefault="00C0696A" w:rsidP="001E6E67">
      <w:pPr>
        <w:spacing w:after="0" w:line="240" w:lineRule="auto"/>
      </w:pPr>
      <w:r>
        <w:separator/>
      </w:r>
    </w:p>
  </w:footnote>
  <w:footnote w:type="continuationSeparator" w:id="0">
    <w:p w:rsidR="00C0696A" w:rsidRDefault="00C0696A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87C">
          <w:rPr>
            <w:noProof/>
          </w:rPr>
          <w:t>8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8F687C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0696A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5B9F-1A0A-4AD0-9069-CAF9E128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Uchitel</cp:lastModifiedBy>
  <cp:revision>2</cp:revision>
  <cp:lastPrinted>2019-12-12T05:58:00Z</cp:lastPrinted>
  <dcterms:created xsi:type="dcterms:W3CDTF">2019-12-13T10:56:00Z</dcterms:created>
  <dcterms:modified xsi:type="dcterms:W3CDTF">2019-12-13T10:56:00Z</dcterms:modified>
</cp:coreProperties>
</file>